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E0" w:rsidRPr="001A0EE0" w:rsidRDefault="001A0EE0" w:rsidP="001A0EE0">
      <w:pPr>
        <w:spacing w:before="36" w:after="36" w:line="240" w:lineRule="auto"/>
        <w:ind w:left="178" w:right="178"/>
        <w:jc w:val="center"/>
        <w:outlineLvl w:val="2"/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</w:pPr>
      <w:r w:rsidRPr="001A0EE0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>Консультация для воспитателей</w:t>
      </w:r>
    </w:p>
    <w:p w:rsidR="001A0EE0" w:rsidRDefault="001A0EE0" w:rsidP="001A0EE0">
      <w:pPr>
        <w:spacing w:before="36" w:after="36" w:line="240" w:lineRule="auto"/>
        <w:ind w:left="178" w:right="178"/>
        <w:jc w:val="center"/>
        <w:outlineLvl w:val="3"/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</w:pPr>
      <w:r w:rsidRPr="001A0EE0"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  <w:t>«Влияние театрализованной игры на формирование</w:t>
      </w:r>
      <w:r w:rsidRPr="001A0EE0"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  <w:br/>
        <w:t>личностных компетенций ребенка-дошкольника»</w:t>
      </w:r>
    </w:p>
    <w:p w:rsidR="001A0EE0" w:rsidRDefault="001A0EE0" w:rsidP="001A0EE0">
      <w:pPr>
        <w:spacing w:before="36" w:after="36" w:line="240" w:lineRule="auto"/>
        <w:ind w:left="178" w:right="178"/>
        <w:jc w:val="right"/>
        <w:outlineLvl w:val="3"/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</w:pPr>
    </w:p>
    <w:p w:rsidR="001A0EE0" w:rsidRDefault="001A0EE0" w:rsidP="001A0EE0">
      <w:pPr>
        <w:spacing w:before="36" w:after="36" w:line="240" w:lineRule="auto"/>
        <w:ind w:left="178" w:right="178"/>
        <w:jc w:val="right"/>
        <w:outlineLvl w:val="3"/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</w:pPr>
      <w:r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  <w:t>Музыкальный руководитель:</w:t>
      </w:r>
    </w:p>
    <w:p w:rsidR="001A0EE0" w:rsidRDefault="00513FD8" w:rsidP="001A0EE0">
      <w:pPr>
        <w:spacing w:before="36" w:after="36" w:line="240" w:lineRule="auto"/>
        <w:ind w:left="178" w:right="178"/>
        <w:jc w:val="right"/>
        <w:outlineLvl w:val="3"/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</w:pPr>
      <w:r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  <w:t>МБДОУ №2</w:t>
      </w:r>
    </w:p>
    <w:p w:rsidR="001A0EE0" w:rsidRPr="001A0EE0" w:rsidRDefault="001A0EE0" w:rsidP="001A0EE0">
      <w:pPr>
        <w:spacing w:before="36" w:after="36" w:line="240" w:lineRule="auto"/>
        <w:ind w:left="178" w:right="178"/>
        <w:jc w:val="right"/>
        <w:outlineLvl w:val="3"/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</w:pPr>
      <w:r>
        <w:rPr>
          <w:rFonts w:ascii="Verdana" w:eastAsia="Times New Roman" w:hAnsi="Verdana" w:cs="Times New Roman"/>
          <w:sz w:val="26"/>
          <w:szCs w:val="26"/>
          <w:u w:val="single"/>
          <w:lang w:eastAsia="ru-RU"/>
        </w:rPr>
        <w:t>Кузина Н.А.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Важное значение</w:t>
      </w:r>
      <w:proofErr w:type="gramEnd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в возникновении у детей игры особого рода</w:t>
      </w:r>
      <w:r w:rsidR="00513FD8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театрализованной имеет сюжетно-ролевая игра. Особенность театрализованной игры состоит в том, что со временем дети уже не удоволетворяются в своих играх только изображением деятельности взрослых, их начинают увлекать игры, навеянные литературными произведениями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>(на героическую, трудовую, историческую тематику)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. Такие игры являются переходными, в них присутствуют элементы драматизации, но текст используется здесь более свободно, чем в театрализованной игре; детей больше увлекает сам сюжет, его правдивое изображение, чем выразительность исполняемых ролей.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Таким образом, именно сюжетно-ролевая игра является своеобразным плацдармом, на котором получает свое дальнейшее развитие театрализованная игра.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Оба вида игры развиваются параллельно, но с\</w:t>
      </w: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</w:t>
      </w:r>
      <w:proofErr w:type="gramEnd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игра достигает своего пика у детей 5-6 лет, а театрализованнаяу детей 6-7 лет.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Исследователи отмечают близость с\</w:t>
      </w: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</w:t>
      </w:r>
      <w:proofErr w:type="gramEnd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и театрализованной игры. В с\</w:t>
      </w: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</w:t>
      </w:r>
      <w:proofErr w:type="gramEnd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игре дети отражают впечатления, полученные из жизни, а в театрализованной игреиз готового источника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>(литературно-художественного)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. В с\</w:t>
      </w: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</w:t>
      </w:r>
      <w:proofErr w:type="gramEnd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игре инициатива детей направлена на создание сюжета, а в театрализованнойна выразительность разыгрываемых ролей. Деятельность детей в с\</w:t>
      </w: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</w:t>
      </w:r>
      <w:proofErr w:type="gramEnd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игре является ориентировочной и не может быть представлена для показа зрителю, а в театрализованной игре действие может быть показано зрителю: детям, родителям.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Не секрет, что многие дети страдают от неустойчивого внимания, испытывают трудности при ориентировке в пространстве, у них недостаточно развита познавательная деятельность, наблюдается нарушение грамматического строя речи, недостаточность фонетико-фонематического восприятия, незрелость эмоционально-волевой сферы.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Дети, склонные к тормозным процессам, проявляют в игре робость, скованность, быструю утомляемость. Детям с повышенной возбудимостью не хватает внимания, сосредоточенности.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И, как показывают практические наблюдения, особая роль в повышении умственной активности, совершенствовании речевых навыков, развитии психических процессов, повышении эмоциональной активности принадлежит театрализованным играм.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Для успешного формирования творческой активности детей в театрализованной деятельности необходимо соблюдать ряд условий: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*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u w:val="single"/>
          <w:lang w:eastAsia="ru-RU"/>
        </w:rPr>
        <w:t>приобщать детей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к театральному искусству, начиная с просмотров спектаклей в исполнении взрослых.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Чередование просмотров спектаклей кукольного и драматического театров позволяют детям осваивать законы жанра. Накопленные впечатления помогают им при разыгрывании 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lastRenderedPageBreak/>
        <w:t>простейших ролей, постижении азов перевоплощения. Осваивая способы действий, ребенок начинает все более свободно чувствовать себя в творческой игре.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*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u w:val="single"/>
          <w:lang w:eastAsia="ru-RU"/>
        </w:rPr>
        <w:t>Педагог должен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осознанно выбирать художественное произведение для работы. Вначале воспитателю необходимо выразительно прочитать произведение, а затем провести по нему беседу, поясняющую и выясняющую понимание не только содержания, но и отдельных средств выразительности. Чем меньше ребенок, тем определеннее, акцентированнее должно быть чтение, направленное на артистичность, искренность и неподдельность чувств педагога, являющихся для детей образцом эмоционального отношения к тем или иным ситуациям.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*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u w:val="single"/>
          <w:lang w:eastAsia="ru-RU"/>
        </w:rPr>
        <w:t>Огромную роль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 осмыслении познавательного и эмоционального материала играют иллюстрации.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При рассматривании иллюстраций особое внимание необходимо уделять анализу эмоционального состояния персонажей, изображенных на картинах.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proofErr w:type="gramStart"/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>(«Что с ним?</w:t>
      </w:r>
      <w:proofErr w:type="gramEnd"/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 xml:space="preserve"> Почему он плачет?» и т. д.</w:t>
      </w:r>
      <w:proofErr w:type="gramStart"/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 xml:space="preserve"> )</w:t>
      </w:r>
      <w:proofErr w:type="gramEnd"/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При организации игр можно использовать фланелеграф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>(особенно на начальных этапах)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. Так, особенно эффективно использовать фланелеграф для составления сезонных сказок: например, на небе появилась тучка, из нее сыплются сестрички-снежинки, они покрывают землю белым пушистым покрывалом. Можно использовать настольный театр кукол, в котором четко фиксируются различные ситуации. Особенно много сценок можно разыграть с куклами бибабо.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*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u w:val="single"/>
          <w:lang w:eastAsia="ru-RU"/>
        </w:rPr>
        <w:t>Необходимо предоставлять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детям возможность самовыражаться в своем творчестве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>(в сочинении, разыгрывании и оформлении своих авторских сюжетов)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*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u w:val="single"/>
          <w:lang w:eastAsia="ru-RU"/>
        </w:rPr>
        <w:t>Учиться творчеству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можно только при поддержке взрослых, в том числе и родителей.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Рекомендуемые формы работы с родителями: проведение досугов, тематических вечеров «Любимые сказки», «Театральные встречи», бесед, консультаций, домашнее сочинение сказок и различных историй и их разыгрывание, совместное изготовление атрибутов, костюмов.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Социально-психологические особенности детей дошкольного возраста включают стремление участвовать в совместной деятельности со сверстниками и взрослыми, а так же время от времени возникающюю потребность в уединении. Поэтому в каждой возрастной группе должна быть оборудована театральная зона или уголок сказки, а так же «тихий уголок», в котором ребенок может побыть один и «порепетировать» какую-либо роль перед зеркалом или еще раз посмотреть иллюстрации и т. д.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В группе для детей 2-4 лет должен быть уголок ряжения и игрушки-животные для театрализации сказок. В группе детей 5-7 лет более широко должны быть представлены виды театров, а так же разнообразные материалы для изготовления атрибутов к спектаклям. В целях учета поло-ролевых особенностей детей оборудование зоны для театрализованной деятельности должны отвечать </w:t>
      </w: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интересам</w:t>
      </w:r>
      <w:proofErr w:type="gramEnd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 xml:space="preserve"> как мальчиков, так и девочек.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Театрализованная деятельность выполняет одновременно познавательную, воспитательную и развивающую функцию.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lastRenderedPageBreak/>
        <w:t>Участвую в театрализованных играх, дети познают окружающий мир, становятся участниками событий из жизни людей, животных растений. Тематика театрализованных игр может быть разнообразной.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Воспитательное значение театрализованных игр состоит в формировании уважительного отношения детей друг к другу, развитии коллективизма. Особенно важны нравственные уроки сказок-игр, которые дети получают в результате совместного анализа каждой игры.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 театрализованных играх развивается творческая активность детей. Детям становится интересно, когда они не только говорят, но и действуют как сказочные герои.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Полезно использовать любые моменты в жизни группы для упражнений в различном интонировании сло</w:t>
      </w:r>
      <w:proofErr w:type="gramStart"/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</w:t>
      </w:r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>(</w:t>
      </w:r>
      <w:proofErr w:type="gramEnd"/>
      <w:r w:rsidRPr="001A0EE0">
        <w:rPr>
          <w:rFonts w:ascii="Verdana" w:eastAsia="Times New Roman" w:hAnsi="Verdana" w:cs="Times New Roman"/>
          <w:i/>
          <w:iCs/>
          <w:color w:val="464646"/>
          <w:sz w:val="21"/>
          <w:szCs w:val="21"/>
          <w:lang w:eastAsia="ru-RU"/>
        </w:rPr>
        <w:t>радостно, удивленно, грустно, тихо, громко, быстро и т. д. )</w:t>
      </w:r>
      <w:r w:rsidRPr="001A0EE0">
        <w:rPr>
          <w:rFonts w:ascii="Verdana" w:eastAsia="Times New Roman" w:hAnsi="Verdana" w:cs="Times New Roman"/>
          <w:color w:val="464646"/>
          <w:sz w:val="21"/>
          <w:lang w:eastAsia="ru-RU"/>
        </w:rPr>
        <w:t> </w:t>
      </w: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Так у детей развивается мелодико-интонационная выразительность, плавность речи.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 театрализованной игре дети имитируют движения персонажей, при этом совершенствуется их координация, вырабатывается чувство ритма. А движения в свою очередь повышают активность рече-двигательного анализатора, «балансируют» процессы возбуждения и торможения.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От игры к игре нарастает активность детей, они запоминают текст, перевоплощаются, входят в образ, овладевают средствами выразительности. Дети начинают чувствовать ответственность за успех игры.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b/>
          <w:bCs/>
          <w:color w:val="464646"/>
          <w:sz w:val="21"/>
          <w:szCs w:val="21"/>
          <w:lang w:eastAsia="ru-RU"/>
        </w:rPr>
        <w:t>Итак, театрализованная игра - один из самых эффективных способов воздействия на ребенка, в котором наиболее ярко проявляется принцип обучения: учить играя!</w:t>
      </w:r>
    </w:p>
    <w:p w:rsidR="001A0EE0" w:rsidRPr="001A0EE0" w:rsidRDefault="001A0EE0" w:rsidP="001A0EE0">
      <w:pPr>
        <w:spacing w:before="89" w:after="89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Все вышеизложенное позволяет сделать следующие выводы: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В процесс театрализованной игры расширяются и углубляются знания детей об окружающем мире;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Развиваются психические процессы: внимание, память, восприятие, воображение, стимулируются мыслительные операции;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Происходит развитие различных анализаторов;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Активизируется и совершенствуется словарный запас, грамматический строй речи, звукопроизношение, навыки связной речи, мелодико-интонационная сторона речи, темп, выразительность речи.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Совершенствуется моторика, координация, плавность, переключаемость, целенаправленность движений.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Развивается эмоционально-волевая сфера;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Происходит коррекция поведения;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Развивается чувство коллективизма, ответственность друг за друга, формируется опыт нравственного поведения;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Стимулируется развитие творческой, поисковой активности, самостоятельности;</w:t>
      </w:r>
    </w:p>
    <w:p w:rsidR="001A0EE0" w:rsidRPr="001A0EE0" w:rsidRDefault="001A0EE0" w:rsidP="001A0EE0">
      <w:pPr>
        <w:numPr>
          <w:ilvl w:val="0"/>
          <w:numId w:val="1"/>
        </w:numPr>
        <w:spacing w:before="100" w:beforeAutospacing="1" w:after="100" w:afterAutospacing="1" w:line="320" w:lineRule="atLeast"/>
        <w:ind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t>Участие в театрализованных играх доставляют детям радость, вызывают активный интерес, увлекают их.</w:t>
      </w:r>
    </w:p>
    <w:p w:rsidR="001A0EE0" w:rsidRPr="001A0EE0" w:rsidRDefault="001A0EE0" w:rsidP="001A0EE0">
      <w:pPr>
        <w:spacing w:before="89" w:after="89" w:line="320" w:lineRule="atLeast"/>
        <w:ind w:left="720" w:firstLine="567"/>
        <w:jc w:val="both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1A0EE0"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  <w:lastRenderedPageBreak/>
        <w:t>Источник: http://doshvozrast.ru/metodich/konsultac18.htm</w:t>
      </w:r>
    </w:p>
    <w:p w:rsidR="00722FF3" w:rsidRDefault="00722FF3" w:rsidP="001A0EE0">
      <w:pPr>
        <w:ind w:firstLine="567"/>
        <w:jc w:val="both"/>
      </w:pPr>
    </w:p>
    <w:sectPr w:rsidR="00722FF3" w:rsidSect="001A0EE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04276"/>
    <w:multiLevelType w:val="multilevel"/>
    <w:tmpl w:val="8F6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A0EE0"/>
    <w:rsid w:val="001A0EE0"/>
    <w:rsid w:val="001B5DE9"/>
    <w:rsid w:val="00513FD8"/>
    <w:rsid w:val="0072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F3"/>
  </w:style>
  <w:style w:type="paragraph" w:styleId="3">
    <w:name w:val="heading 3"/>
    <w:basedOn w:val="a"/>
    <w:link w:val="30"/>
    <w:uiPriority w:val="9"/>
    <w:qFormat/>
    <w:rsid w:val="001A0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0E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E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0E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1A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0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797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8985">
              <w:marLeft w:val="89"/>
              <w:marRight w:val="89"/>
              <w:marTop w:val="18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1180</Words>
  <Characters>6727</Characters>
  <Application>Microsoft Office Word</Application>
  <DocSecurity>0</DocSecurity>
  <Lines>56</Lines>
  <Paragraphs>15</Paragraphs>
  <ScaleCrop>false</ScaleCrop>
  <Company>Krokoz™ Inc.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cp:lastPrinted>2015-07-14T16:46:00Z</cp:lastPrinted>
  <dcterms:created xsi:type="dcterms:W3CDTF">2015-07-14T16:41:00Z</dcterms:created>
  <dcterms:modified xsi:type="dcterms:W3CDTF">2023-11-06T11:47:00Z</dcterms:modified>
</cp:coreProperties>
</file>